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80" w:rsidRDefault="00D80580" w:rsidP="00D80580">
      <w:pPr>
        <w:spacing w:after="101" w:line="240" w:lineRule="auto"/>
        <w:jc w:val="center"/>
        <w:rPr>
          <w:rFonts w:ascii="Arial" w:eastAsia="Times New Roman" w:hAnsi="Arial" w:cs="Arial"/>
          <w:b/>
          <w:bCs/>
          <w:color w:val="000000"/>
          <w:sz w:val="24"/>
          <w:szCs w:val="24"/>
          <w:lang w:eastAsia="es-MX"/>
        </w:rPr>
      </w:pPr>
      <w:bookmarkStart w:id="0" w:name="_GoBack"/>
      <w:bookmarkEnd w:id="0"/>
      <w:r w:rsidRPr="00D80580">
        <w:rPr>
          <w:rFonts w:ascii="Arial" w:eastAsia="Times New Roman" w:hAnsi="Arial" w:cs="Arial"/>
          <w:b/>
          <w:bCs/>
          <w:color w:val="000000"/>
          <w:sz w:val="24"/>
          <w:szCs w:val="24"/>
          <w:lang w:eastAsia="es-MX"/>
        </w:rPr>
        <w:t>Unidad</w:t>
      </w:r>
      <w:r w:rsidR="001520C0">
        <w:rPr>
          <w:rFonts w:ascii="Arial" w:eastAsia="Times New Roman" w:hAnsi="Arial" w:cs="Arial"/>
          <w:b/>
          <w:bCs/>
          <w:color w:val="000000"/>
          <w:sz w:val="24"/>
          <w:szCs w:val="24"/>
          <w:lang w:eastAsia="es-MX"/>
        </w:rPr>
        <w:t xml:space="preserve"> de Transparencia (UT) de la Procuraduría General de Justicia del Estado de Michoacán de Ocampo</w:t>
      </w:r>
    </w:p>
    <w:p w:rsidR="00ED5EE8" w:rsidRDefault="00ED5EE8" w:rsidP="00D80580">
      <w:pPr>
        <w:spacing w:after="101" w:line="240" w:lineRule="auto"/>
        <w:jc w:val="center"/>
        <w:rPr>
          <w:rFonts w:ascii="Arial" w:eastAsia="Times New Roman" w:hAnsi="Arial" w:cs="Arial"/>
          <w:b/>
          <w:bCs/>
          <w:color w:val="000000"/>
          <w:sz w:val="24"/>
          <w:szCs w:val="24"/>
          <w:lang w:eastAsia="es-MX"/>
        </w:rPr>
      </w:pPr>
    </w:p>
    <w:tbl>
      <w:tblPr>
        <w:tblStyle w:val="Tablaconcuadrcula"/>
        <w:tblW w:w="21844" w:type="dxa"/>
        <w:tblLayout w:type="fixed"/>
        <w:tblLook w:val="04A0" w:firstRow="1" w:lastRow="0" w:firstColumn="1" w:lastColumn="0" w:noHBand="0" w:noVBand="1"/>
      </w:tblPr>
      <w:tblGrid>
        <w:gridCol w:w="803"/>
        <w:gridCol w:w="834"/>
        <w:gridCol w:w="525"/>
        <w:gridCol w:w="487"/>
        <w:gridCol w:w="688"/>
        <w:gridCol w:w="1019"/>
        <w:gridCol w:w="469"/>
        <w:gridCol w:w="469"/>
        <w:gridCol w:w="469"/>
        <w:gridCol w:w="672"/>
        <w:gridCol w:w="469"/>
        <w:gridCol w:w="888"/>
        <w:gridCol w:w="603"/>
        <w:gridCol w:w="757"/>
        <w:gridCol w:w="525"/>
        <w:gridCol w:w="564"/>
        <w:gridCol w:w="782"/>
        <w:gridCol w:w="4111"/>
        <w:gridCol w:w="1134"/>
        <w:gridCol w:w="992"/>
        <w:gridCol w:w="851"/>
        <w:gridCol w:w="898"/>
        <w:gridCol w:w="1556"/>
        <w:gridCol w:w="1279"/>
      </w:tblGrid>
      <w:tr w:rsidR="000422F7" w:rsidRPr="004E3036" w:rsidTr="00BD69A8">
        <w:trPr>
          <w:cantSplit/>
          <w:trHeight w:val="1515"/>
        </w:trPr>
        <w:tc>
          <w:tcPr>
            <w:tcW w:w="8395" w:type="dxa"/>
            <w:gridSpan w:val="13"/>
            <w:shd w:val="clear" w:color="auto" w:fill="D9D9D9" w:themeFill="background1" w:themeFillShade="D9"/>
            <w:vAlign w:val="center"/>
          </w:tcPr>
          <w:p w:rsidR="00ED5EE8" w:rsidRPr="004E3036" w:rsidRDefault="00ED5EE8" w:rsidP="004E3036">
            <w:pPr>
              <w:spacing w:after="101"/>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Domicilio oficial de la UT</w:t>
            </w:r>
          </w:p>
        </w:tc>
        <w:tc>
          <w:tcPr>
            <w:tcW w:w="757" w:type="dxa"/>
            <w:vMerge w:val="restart"/>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Número telefónico oficial</w:t>
            </w:r>
          </w:p>
        </w:tc>
        <w:tc>
          <w:tcPr>
            <w:tcW w:w="525" w:type="dxa"/>
            <w:vMerge w:val="restart"/>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extensión</w:t>
            </w:r>
          </w:p>
        </w:tc>
        <w:tc>
          <w:tcPr>
            <w:tcW w:w="564" w:type="dxa"/>
            <w:vMerge w:val="restart"/>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Horario de atención de la UT</w:t>
            </w:r>
          </w:p>
        </w:tc>
        <w:tc>
          <w:tcPr>
            <w:tcW w:w="782" w:type="dxa"/>
            <w:vMerge w:val="restart"/>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Correo electrónico oficial</w:t>
            </w:r>
          </w:p>
        </w:tc>
        <w:tc>
          <w:tcPr>
            <w:tcW w:w="4111" w:type="dxa"/>
            <w:vMerge w:val="restart"/>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Leyenda</w:t>
            </w:r>
          </w:p>
        </w:tc>
        <w:tc>
          <w:tcPr>
            <w:tcW w:w="1134" w:type="dxa"/>
            <w:vMerge w:val="restart"/>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Hipervínculo a la dirección electrónica del sistema de solicitudes de acceso a la información</w:t>
            </w:r>
          </w:p>
        </w:tc>
        <w:tc>
          <w:tcPr>
            <w:tcW w:w="5576" w:type="dxa"/>
            <w:gridSpan w:val="5"/>
            <w:shd w:val="clear" w:color="auto" w:fill="D9D9D9" w:themeFill="background1" w:themeFillShade="D9"/>
            <w:vAlign w:val="center"/>
          </w:tcPr>
          <w:p w:rsidR="00ED5EE8" w:rsidRPr="004E3036" w:rsidRDefault="00ED5EE8" w:rsidP="004E3036">
            <w:pPr>
              <w:spacing w:after="101"/>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Responsable y personal  habilitado para cumplir con las funciones de la Unidad de Transparencia</w:t>
            </w:r>
          </w:p>
        </w:tc>
      </w:tr>
      <w:tr w:rsidR="00BD69A8" w:rsidRPr="004E3036" w:rsidTr="00BD69A8">
        <w:trPr>
          <w:cantSplit/>
          <w:trHeight w:val="2198"/>
        </w:trPr>
        <w:tc>
          <w:tcPr>
            <w:tcW w:w="803"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Tipo de vialidad</w:t>
            </w:r>
          </w:p>
        </w:tc>
        <w:tc>
          <w:tcPr>
            <w:tcW w:w="834"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Nombre vialidad</w:t>
            </w:r>
          </w:p>
        </w:tc>
        <w:tc>
          <w:tcPr>
            <w:tcW w:w="525"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Numero exterior</w:t>
            </w:r>
          </w:p>
        </w:tc>
        <w:tc>
          <w:tcPr>
            <w:tcW w:w="487"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Numero interior en su caso</w:t>
            </w:r>
          </w:p>
        </w:tc>
        <w:tc>
          <w:tcPr>
            <w:tcW w:w="688"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Tipo de Asentamiento</w:t>
            </w:r>
          </w:p>
        </w:tc>
        <w:tc>
          <w:tcPr>
            <w:tcW w:w="1019"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Nombre del Asentamiento</w:t>
            </w:r>
          </w:p>
        </w:tc>
        <w:tc>
          <w:tcPr>
            <w:tcW w:w="469"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Clave de la localidad</w:t>
            </w:r>
          </w:p>
        </w:tc>
        <w:tc>
          <w:tcPr>
            <w:tcW w:w="469"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Nombre de la localidad</w:t>
            </w:r>
          </w:p>
        </w:tc>
        <w:tc>
          <w:tcPr>
            <w:tcW w:w="469"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Clave del municipio</w:t>
            </w:r>
          </w:p>
        </w:tc>
        <w:tc>
          <w:tcPr>
            <w:tcW w:w="672"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Nombre del municipio o delegación</w:t>
            </w:r>
          </w:p>
        </w:tc>
        <w:tc>
          <w:tcPr>
            <w:tcW w:w="469"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Clave de la entidad federativa</w:t>
            </w:r>
          </w:p>
        </w:tc>
        <w:tc>
          <w:tcPr>
            <w:tcW w:w="888"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Nombre de la entidad federativa</w:t>
            </w:r>
          </w:p>
        </w:tc>
        <w:tc>
          <w:tcPr>
            <w:tcW w:w="603"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Código postal</w:t>
            </w:r>
          </w:p>
        </w:tc>
        <w:tc>
          <w:tcPr>
            <w:tcW w:w="757" w:type="dxa"/>
            <w:vMerge/>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p>
        </w:tc>
        <w:tc>
          <w:tcPr>
            <w:tcW w:w="525" w:type="dxa"/>
            <w:vMerge/>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p>
        </w:tc>
        <w:tc>
          <w:tcPr>
            <w:tcW w:w="564" w:type="dxa"/>
            <w:vMerge/>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p>
        </w:tc>
        <w:tc>
          <w:tcPr>
            <w:tcW w:w="782" w:type="dxa"/>
            <w:vMerge/>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p>
        </w:tc>
        <w:tc>
          <w:tcPr>
            <w:tcW w:w="4111" w:type="dxa"/>
            <w:vMerge/>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p>
        </w:tc>
        <w:tc>
          <w:tcPr>
            <w:tcW w:w="1134" w:type="dxa"/>
            <w:vMerge/>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p>
        </w:tc>
        <w:tc>
          <w:tcPr>
            <w:tcW w:w="992"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Nombre</w:t>
            </w:r>
          </w:p>
        </w:tc>
        <w:tc>
          <w:tcPr>
            <w:tcW w:w="851"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Primer apellido</w:t>
            </w:r>
          </w:p>
        </w:tc>
        <w:tc>
          <w:tcPr>
            <w:tcW w:w="898"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Segundo apellido</w:t>
            </w:r>
          </w:p>
        </w:tc>
        <w:tc>
          <w:tcPr>
            <w:tcW w:w="1556"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Cargo o puesto en el sujeto obligado</w:t>
            </w:r>
          </w:p>
        </w:tc>
        <w:tc>
          <w:tcPr>
            <w:tcW w:w="1279" w:type="dxa"/>
            <w:shd w:val="clear" w:color="auto" w:fill="D9D9D9" w:themeFill="background1" w:themeFillShade="D9"/>
            <w:textDirection w:val="btLr"/>
            <w:vAlign w:val="center"/>
          </w:tcPr>
          <w:p w:rsidR="00ED5EE8" w:rsidRPr="004E3036" w:rsidRDefault="00ED5EE8" w:rsidP="00ED5EE8">
            <w:pPr>
              <w:spacing w:after="101"/>
              <w:ind w:left="113" w:right="113"/>
              <w:jc w:val="center"/>
              <w:rPr>
                <w:rFonts w:ascii="Arial" w:eastAsia="Times New Roman" w:hAnsi="Arial" w:cs="Arial"/>
                <w:b/>
                <w:color w:val="000000"/>
                <w:sz w:val="16"/>
                <w:szCs w:val="16"/>
                <w:lang w:eastAsia="es-MX"/>
              </w:rPr>
            </w:pPr>
            <w:r w:rsidRPr="004E3036">
              <w:rPr>
                <w:rFonts w:ascii="Arial" w:eastAsia="Times New Roman" w:hAnsi="Arial" w:cs="Arial"/>
                <w:b/>
                <w:color w:val="000000"/>
                <w:sz w:val="16"/>
                <w:szCs w:val="16"/>
                <w:lang w:eastAsia="es-MX"/>
              </w:rPr>
              <w:t>Cargo o función en la UT</w:t>
            </w:r>
          </w:p>
        </w:tc>
      </w:tr>
      <w:tr w:rsidR="0072189C" w:rsidTr="00BD69A8">
        <w:trPr>
          <w:trHeight w:val="1313"/>
        </w:trPr>
        <w:tc>
          <w:tcPr>
            <w:tcW w:w="803"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Periférico</w:t>
            </w:r>
          </w:p>
        </w:tc>
        <w:tc>
          <w:tcPr>
            <w:tcW w:w="834"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Paseo de la República</w:t>
            </w:r>
          </w:p>
        </w:tc>
        <w:tc>
          <w:tcPr>
            <w:tcW w:w="525"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w:t>
            </w:r>
          </w:p>
        </w:tc>
        <w:tc>
          <w:tcPr>
            <w:tcW w:w="487"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w:t>
            </w:r>
          </w:p>
        </w:tc>
        <w:tc>
          <w:tcPr>
            <w:tcW w:w="688"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Colonia</w:t>
            </w:r>
          </w:p>
        </w:tc>
        <w:tc>
          <w:tcPr>
            <w:tcW w:w="1019"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Sentimientos de la Nación</w:t>
            </w:r>
          </w:p>
        </w:tc>
        <w:tc>
          <w:tcPr>
            <w:tcW w:w="469" w:type="dxa"/>
            <w:vMerge w:val="restart"/>
            <w:textDirection w:val="btLr"/>
            <w:vAlign w:val="center"/>
          </w:tcPr>
          <w:p w:rsidR="0072189C" w:rsidRPr="001520C0" w:rsidRDefault="000422F7"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0001</w:t>
            </w:r>
          </w:p>
        </w:tc>
        <w:tc>
          <w:tcPr>
            <w:tcW w:w="469" w:type="dxa"/>
            <w:vMerge w:val="restart"/>
            <w:textDirection w:val="btLr"/>
            <w:vAlign w:val="center"/>
          </w:tcPr>
          <w:p w:rsidR="0072189C" w:rsidRPr="001520C0" w:rsidRDefault="000422F7"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Morelia</w:t>
            </w:r>
          </w:p>
        </w:tc>
        <w:tc>
          <w:tcPr>
            <w:tcW w:w="469"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053</w:t>
            </w:r>
          </w:p>
        </w:tc>
        <w:tc>
          <w:tcPr>
            <w:tcW w:w="672"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Morelia</w:t>
            </w:r>
          </w:p>
        </w:tc>
        <w:tc>
          <w:tcPr>
            <w:tcW w:w="469"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888"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Michoacán</w:t>
            </w:r>
          </w:p>
        </w:tc>
        <w:tc>
          <w:tcPr>
            <w:tcW w:w="603"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sidRPr="00EE7319">
              <w:rPr>
                <w:rFonts w:ascii="Arial" w:eastAsia="Times New Roman" w:hAnsi="Arial" w:cs="Arial"/>
                <w:color w:val="000000"/>
                <w:sz w:val="16"/>
                <w:szCs w:val="16"/>
                <w:lang w:eastAsia="es-MX"/>
              </w:rPr>
              <w:t>58170</w:t>
            </w:r>
          </w:p>
        </w:tc>
        <w:tc>
          <w:tcPr>
            <w:tcW w:w="757"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(443) 3223600</w:t>
            </w:r>
          </w:p>
        </w:tc>
        <w:tc>
          <w:tcPr>
            <w:tcW w:w="525"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1100</w:t>
            </w:r>
          </w:p>
        </w:tc>
        <w:tc>
          <w:tcPr>
            <w:tcW w:w="564" w:type="dxa"/>
            <w:vMerge w:val="restart"/>
            <w:textDirection w:val="btLr"/>
            <w:vAlign w:val="center"/>
          </w:tcPr>
          <w:p w:rsidR="0072189C" w:rsidRPr="001520C0" w:rsidRDefault="0072189C" w:rsidP="00BD69A8">
            <w:pPr>
              <w:spacing w:after="101"/>
              <w:ind w:left="113" w:right="113"/>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09:00 a 15:00 y 18:00 a 21:00</w:t>
            </w:r>
          </w:p>
        </w:tc>
        <w:tc>
          <w:tcPr>
            <w:tcW w:w="782" w:type="dxa"/>
            <w:vMerge w:val="restart"/>
            <w:textDirection w:val="btLr"/>
            <w:vAlign w:val="center"/>
          </w:tcPr>
          <w:p w:rsidR="0072189C" w:rsidRPr="001520C0" w:rsidRDefault="00990F0A" w:rsidP="00BD69A8">
            <w:pPr>
              <w:spacing w:after="101"/>
              <w:ind w:left="113" w:right="113"/>
              <w:jc w:val="center"/>
              <w:rPr>
                <w:rFonts w:ascii="Arial" w:eastAsia="Times New Roman" w:hAnsi="Arial" w:cs="Arial"/>
                <w:color w:val="000000"/>
                <w:sz w:val="16"/>
                <w:szCs w:val="16"/>
                <w:lang w:eastAsia="es-MX"/>
              </w:rPr>
            </w:pPr>
            <w:hyperlink r:id="rId7" w:history="1">
              <w:r w:rsidR="00BD69A8" w:rsidRPr="00342CF8">
                <w:rPr>
                  <w:rStyle w:val="Hipervnculo"/>
                  <w:rFonts w:ascii="Arial" w:eastAsia="Times New Roman" w:hAnsi="Arial" w:cs="Arial"/>
                  <w:sz w:val="16"/>
                  <w:szCs w:val="16"/>
                  <w:lang w:eastAsia="es-MX"/>
                </w:rPr>
                <w:t>pgje@michoacan.gob.mx</w:t>
              </w:r>
            </w:hyperlink>
          </w:p>
        </w:tc>
        <w:tc>
          <w:tcPr>
            <w:tcW w:w="4111" w:type="dxa"/>
            <w:vMerge w:val="restart"/>
            <w:vAlign w:val="center"/>
          </w:tcPr>
          <w:p w:rsidR="0072189C" w:rsidRPr="00D51E95" w:rsidRDefault="0072189C" w:rsidP="00BD69A8">
            <w:pPr>
              <w:autoSpaceDE w:val="0"/>
              <w:autoSpaceDN w:val="0"/>
              <w:adjustRightInd w:val="0"/>
              <w:jc w:val="center"/>
              <w:outlineLvl w:val="0"/>
              <w:rPr>
                <w:rFonts w:ascii="Arial Narrow" w:hAnsi="Arial Narrow" w:cs="Arial"/>
                <w:color w:val="2F2F2F"/>
                <w:sz w:val="24"/>
                <w:szCs w:val="24"/>
              </w:rPr>
            </w:pPr>
            <w:r w:rsidRPr="00D51E95">
              <w:rPr>
                <w:rFonts w:ascii="Arial Narrow" w:hAnsi="Arial Narrow" w:cs="Arial"/>
                <w:color w:val="2F2F2F"/>
                <w:sz w:val="24"/>
                <w:szCs w:val="24"/>
              </w:rPr>
              <w:t xml:space="preserve">"Se reciben solicitudes de información pública respecto a &lt;&lt;la </w:t>
            </w:r>
            <w:r>
              <w:rPr>
                <w:rFonts w:ascii="Arial Narrow" w:hAnsi="Arial Narrow" w:cs="Arial"/>
                <w:color w:val="2F2F2F"/>
                <w:sz w:val="24"/>
                <w:szCs w:val="24"/>
              </w:rPr>
              <w:t>Procuraduría General de Justicia del Estado</w:t>
            </w:r>
            <w:r w:rsidRPr="00D51E95">
              <w:rPr>
                <w:rFonts w:ascii="Arial Narrow" w:hAnsi="Arial Narrow" w:cs="Arial"/>
                <w:color w:val="2F2F2F"/>
                <w:sz w:val="24"/>
                <w:szCs w:val="24"/>
              </w:rPr>
              <w:t>&gt;&gt;,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p w:rsidR="0072189C" w:rsidRPr="00D51E95" w:rsidRDefault="0072189C" w:rsidP="00BD69A8">
            <w:pPr>
              <w:autoSpaceDE w:val="0"/>
              <w:autoSpaceDN w:val="0"/>
              <w:adjustRightInd w:val="0"/>
              <w:jc w:val="center"/>
              <w:outlineLvl w:val="0"/>
              <w:rPr>
                <w:rFonts w:ascii="Arial Narrow" w:hAnsi="Arial Narrow" w:cs="Arial"/>
                <w:color w:val="2F2F2F"/>
                <w:sz w:val="24"/>
                <w:szCs w:val="24"/>
              </w:rPr>
            </w:pPr>
          </w:p>
        </w:tc>
        <w:tc>
          <w:tcPr>
            <w:tcW w:w="1134" w:type="dxa"/>
            <w:vMerge w:val="restart"/>
            <w:textDirection w:val="btLr"/>
            <w:vAlign w:val="center"/>
          </w:tcPr>
          <w:p w:rsidR="0072189C" w:rsidRPr="001520C0" w:rsidRDefault="00990F0A" w:rsidP="00BD69A8">
            <w:pPr>
              <w:spacing w:after="101"/>
              <w:ind w:left="113" w:right="113"/>
              <w:jc w:val="center"/>
              <w:rPr>
                <w:rFonts w:ascii="Arial" w:eastAsia="Times New Roman" w:hAnsi="Arial" w:cs="Arial"/>
                <w:color w:val="000000"/>
                <w:sz w:val="16"/>
                <w:szCs w:val="16"/>
                <w:lang w:eastAsia="es-MX"/>
              </w:rPr>
            </w:pPr>
            <w:hyperlink r:id="rId8" w:history="1">
              <w:r w:rsidR="000422F7" w:rsidRPr="00272706">
                <w:rPr>
                  <w:rStyle w:val="Hipervnculo"/>
                  <w:rFonts w:ascii="Arial Narrow" w:eastAsia="Times New Roman" w:hAnsi="Arial Narrow" w:cs="Times New Roman"/>
                  <w:sz w:val="24"/>
                  <w:szCs w:val="24"/>
                  <w:lang w:eastAsia="es-MX"/>
                </w:rPr>
                <w:t>http://www.plataformadetransparencia.org.mx/</w:t>
              </w:r>
            </w:hyperlink>
          </w:p>
        </w:tc>
        <w:tc>
          <w:tcPr>
            <w:tcW w:w="992" w:type="dxa"/>
            <w:vAlign w:val="center"/>
          </w:tcPr>
          <w:p w:rsidR="0072189C" w:rsidRPr="001520C0"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Mario Aurelio</w:t>
            </w:r>
          </w:p>
        </w:tc>
        <w:tc>
          <w:tcPr>
            <w:tcW w:w="851" w:type="dxa"/>
            <w:vAlign w:val="center"/>
          </w:tcPr>
          <w:p w:rsidR="0072189C" w:rsidRPr="001520C0"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Tirado</w:t>
            </w:r>
          </w:p>
        </w:tc>
        <w:tc>
          <w:tcPr>
            <w:tcW w:w="898" w:type="dxa"/>
            <w:vAlign w:val="center"/>
          </w:tcPr>
          <w:p w:rsidR="0072189C" w:rsidRPr="001520C0"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Rayón</w:t>
            </w:r>
          </w:p>
        </w:tc>
        <w:tc>
          <w:tcPr>
            <w:tcW w:w="1556" w:type="dxa"/>
            <w:vAlign w:val="center"/>
          </w:tcPr>
          <w:p w:rsidR="0072189C" w:rsidRPr="001520C0"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Director General de Análisis y Seguimiento</w:t>
            </w:r>
          </w:p>
        </w:tc>
        <w:tc>
          <w:tcPr>
            <w:tcW w:w="1279" w:type="dxa"/>
            <w:vAlign w:val="center"/>
          </w:tcPr>
          <w:p w:rsidR="0072189C" w:rsidRPr="001520C0"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Supervisor</w:t>
            </w:r>
          </w:p>
        </w:tc>
      </w:tr>
      <w:tr w:rsidR="0072189C" w:rsidTr="00BD69A8">
        <w:trPr>
          <w:trHeight w:val="580"/>
        </w:trPr>
        <w:tc>
          <w:tcPr>
            <w:tcW w:w="803"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834"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525"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487"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688"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1019"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469" w:type="dxa"/>
            <w:vMerge/>
            <w:vAlign w:val="center"/>
          </w:tcPr>
          <w:p w:rsidR="0072189C" w:rsidRPr="001520C0" w:rsidRDefault="0072189C" w:rsidP="00BD69A8">
            <w:pPr>
              <w:spacing w:after="101"/>
              <w:jc w:val="center"/>
              <w:rPr>
                <w:rFonts w:ascii="Arial" w:eastAsia="Times New Roman" w:hAnsi="Arial" w:cs="Arial"/>
                <w:color w:val="000000"/>
                <w:sz w:val="16"/>
                <w:szCs w:val="16"/>
                <w:lang w:eastAsia="es-MX"/>
              </w:rPr>
            </w:pPr>
          </w:p>
        </w:tc>
        <w:tc>
          <w:tcPr>
            <w:tcW w:w="469" w:type="dxa"/>
            <w:vMerge/>
            <w:vAlign w:val="center"/>
          </w:tcPr>
          <w:p w:rsidR="0072189C" w:rsidRPr="001520C0" w:rsidRDefault="0072189C" w:rsidP="00BD69A8">
            <w:pPr>
              <w:spacing w:after="101"/>
              <w:jc w:val="center"/>
              <w:rPr>
                <w:rFonts w:ascii="Arial" w:eastAsia="Times New Roman" w:hAnsi="Arial" w:cs="Arial"/>
                <w:color w:val="000000"/>
                <w:sz w:val="16"/>
                <w:szCs w:val="16"/>
                <w:lang w:eastAsia="es-MX"/>
              </w:rPr>
            </w:pPr>
          </w:p>
        </w:tc>
        <w:tc>
          <w:tcPr>
            <w:tcW w:w="469"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672"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469"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888"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603" w:type="dxa"/>
            <w:vMerge/>
            <w:vAlign w:val="center"/>
          </w:tcPr>
          <w:p w:rsidR="0072189C" w:rsidRPr="00EE7319" w:rsidRDefault="0072189C" w:rsidP="00BD69A8">
            <w:pPr>
              <w:spacing w:after="101"/>
              <w:jc w:val="center"/>
              <w:rPr>
                <w:rFonts w:ascii="Arial" w:eastAsia="Times New Roman" w:hAnsi="Arial" w:cs="Arial"/>
                <w:color w:val="000000"/>
                <w:sz w:val="16"/>
                <w:szCs w:val="16"/>
                <w:lang w:eastAsia="es-MX"/>
              </w:rPr>
            </w:pPr>
          </w:p>
        </w:tc>
        <w:tc>
          <w:tcPr>
            <w:tcW w:w="757"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525"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564"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782" w:type="dxa"/>
            <w:vMerge/>
            <w:vAlign w:val="center"/>
          </w:tcPr>
          <w:p w:rsidR="0072189C" w:rsidRDefault="0072189C" w:rsidP="00BD69A8">
            <w:pPr>
              <w:spacing w:after="101"/>
              <w:jc w:val="center"/>
              <w:rPr>
                <w:rFonts w:ascii="Arial" w:eastAsia="Times New Roman" w:hAnsi="Arial" w:cs="Arial"/>
                <w:color w:val="000000"/>
                <w:sz w:val="16"/>
                <w:szCs w:val="16"/>
                <w:lang w:eastAsia="es-MX"/>
              </w:rPr>
            </w:pPr>
          </w:p>
        </w:tc>
        <w:tc>
          <w:tcPr>
            <w:tcW w:w="4111" w:type="dxa"/>
            <w:vMerge/>
            <w:vAlign w:val="center"/>
          </w:tcPr>
          <w:p w:rsidR="0072189C" w:rsidRPr="001520C0" w:rsidRDefault="0072189C" w:rsidP="00BD69A8">
            <w:pPr>
              <w:spacing w:after="101"/>
              <w:jc w:val="center"/>
              <w:rPr>
                <w:rFonts w:ascii="Arial" w:eastAsia="Times New Roman" w:hAnsi="Arial" w:cs="Arial"/>
                <w:color w:val="000000"/>
                <w:sz w:val="16"/>
                <w:szCs w:val="16"/>
                <w:lang w:eastAsia="es-MX"/>
              </w:rPr>
            </w:pPr>
          </w:p>
        </w:tc>
        <w:tc>
          <w:tcPr>
            <w:tcW w:w="1134" w:type="dxa"/>
            <w:vMerge/>
            <w:vAlign w:val="center"/>
          </w:tcPr>
          <w:p w:rsidR="0072189C" w:rsidRPr="00EE7319" w:rsidRDefault="0072189C" w:rsidP="00BD69A8">
            <w:pPr>
              <w:spacing w:after="101"/>
              <w:jc w:val="center"/>
              <w:rPr>
                <w:rFonts w:ascii="Arial" w:eastAsia="Times New Roman" w:hAnsi="Arial" w:cs="Arial"/>
                <w:color w:val="000000"/>
                <w:sz w:val="16"/>
                <w:szCs w:val="16"/>
                <w:lang w:eastAsia="es-MX"/>
              </w:rPr>
            </w:pPr>
          </w:p>
        </w:tc>
        <w:tc>
          <w:tcPr>
            <w:tcW w:w="992" w:type="dxa"/>
            <w:vAlign w:val="center"/>
          </w:tcPr>
          <w:p w:rsidR="0072189C"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Gabriel</w:t>
            </w:r>
          </w:p>
        </w:tc>
        <w:tc>
          <w:tcPr>
            <w:tcW w:w="851" w:type="dxa"/>
            <w:vAlign w:val="center"/>
          </w:tcPr>
          <w:p w:rsidR="0072189C"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González</w:t>
            </w:r>
          </w:p>
        </w:tc>
        <w:tc>
          <w:tcPr>
            <w:tcW w:w="898" w:type="dxa"/>
            <w:vAlign w:val="center"/>
          </w:tcPr>
          <w:p w:rsidR="0072189C"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Díaz</w:t>
            </w:r>
          </w:p>
        </w:tc>
        <w:tc>
          <w:tcPr>
            <w:tcW w:w="1556" w:type="dxa"/>
            <w:vAlign w:val="center"/>
          </w:tcPr>
          <w:p w:rsidR="0072189C"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Titular de la Unidad de Transparencia</w:t>
            </w:r>
          </w:p>
        </w:tc>
        <w:tc>
          <w:tcPr>
            <w:tcW w:w="1279" w:type="dxa"/>
            <w:vAlign w:val="center"/>
          </w:tcPr>
          <w:p w:rsidR="0072189C" w:rsidRDefault="0072189C" w:rsidP="00BD69A8">
            <w:pPr>
              <w:spacing w:after="101"/>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Responsable</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sectPr w:rsidR="00D80580" w:rsidSect="00ED5EE8">
      <w:headerReference w:type="even" r:id="rId9"/>
      <w:headerReference w:type="default" r:id="rId10"/>
      <w:footerReference w:type="even" r:id="rId11"/>
      <w:footerReference w:type="default" r:id="rId12"/>
      <w:headerReference w:type="first" r:id="rId13"/>
      <w:footerReference w:type="first" r:id="rId14"/>
      <w:pgSz w:w="22680" w:h="12242" w:orient="landscape" w:code="5"/>
      <w:pgMar w:top="2183" w:right="567" w:bottom="1701" w:left="567" w:header="284"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22" w:rsidRDefault="00247422" w:rsidP="00076FA0">
      <w:pPr>
        <w:spacing w:after="0" w:line="240" w:lineRule="auto"/>
      </w:pPr>
      <w:r>
        <w:separator/>
      </w:r>
    </w:p>
  </w:endnote>
  <w:endnote w:type="continuationSeparator" w:id="0">
    <w:p w:rsidR="00247422" w:rsidRDefault="0024742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1C" w:rsidRDefault="004E61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1520C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1520C0">
      <w:trPr>
        <w:trHeight w:val="206"/>
      </w:trPr>
      <w:tc>
        <w:tcPr>
          <w:tcW w:w="3107" w:type="dxa"/>
          <w:shd w:val="clear" w:color="auto" w:fill="auto"/>
          <w:vAlign w:val="center"/>
        </w:tcPr>
        <w:p w:rsidR="00076FA0" w:rsidRPr="00B40E8E" w:rsidRDefault="004E611C" w:rsidP="009960A3">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4E611C" w:rsidP="009960A3">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EE7319" w:rsidP="00F900C9">
          <w:pPr>
            <w:tabs>
              <w:tab w:val="center" w:pos="4419"/>
              <w:tab w:val="right" w:pos="8838"/>
            </w:tabs>
            <w:jc w:val="center"/>
            <w:rPr>
              <w:sz w:val="16"/>
              <w:szCs w:val="16"/>
            </w:rPr>
          </w:pPr>
          <w:r>
            <w:rPr>
              <w:sz w:val="16"/>
              <w:szCs w:val="16"/>
            </w:rPr>
            <w:t>Unidad de Transparencia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1C" w:rsidRDefault="004E61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22" w:rsidRDefault="00247422" w:rsidP="00076FA0">
      <w:pPr>
        <w:spacing w:after="0" w:line="240" w:lineRule="auto"/>
      </w:pPr>
      <w:r>
        <w:separator/>
      </w:r>
    </w:p>
  </w:footnote>
  <w:footnote w:type="continuationSeparator" w:id="0">
    <w:p w:rsidR="00247422" w:rsidRDefault="0024742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1C" w:rsidRDefault="004E61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520C0">
    <w:pPr>
      <w:pStyle w:val="Encabezado"/>
    </w:pPr>
    <w:r>
      <w:rPr>
        <w:noProof/>
        <w:lang w:eastAsia="es-MX"/>
      </w:rPr>
      <w:drawing>
        <wp:inline distT="0" distB="0" distL="0" distR="0" wp14:anchorId="00CEECA0" wp14:editId="1D58778A">
          <wp:extent cx="13630275" cy="971550"/>
          <wp:effectExtent l="0" t="0" r="9525" b="0"/>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0275"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1C" w:rsidRDefault="004E61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06EF"/>
    <w:rsid w:val="00037BFD"/>
    <w:rsid w:val="000422F7"/>
    <w:rsid w:val="00076FA0"/>
    <w:rsid w:val="00087668"/>
    <w:rsid w:val="000E4853"/>
    <w:rsid w:val="001520C0"/>
    <w:rsid w:val="00247422"/>
    <w:rsid w:val="002A29C9"/>
    <w:rsid w:val="002E10ED"/>
    <w:rsid w:val="00311E0B"/>
    <w:rsid w:val="003E10F3"/>
    <w:rsid w:val="004279D4"/>
    <w:rsid w:val="0046035D"/>
    <w:rsid w:val="00471AA3"/>
    <w:rsid w:val="004E3036"/>
    <w:rsid w:val="004E611C"/>
    <w:rsid w:val="00547021"/>
    <w:rsid w:val="0072189C"/>
    <w:rsid w:val="00746A98"/>
    <w:rsid w:val="00780E88"/>
    <w:rsid w:val="008D5A17"/>
    <w:rsid w:val="008E5CFF"/>
    <w:rsid w:val="00990F0A"/>
    <w:rsid w:val="009960A3"/>
    <w:rsid w:val="00A167E9"/>
    <w:rsid w:val="00BD69A8"/>
    <w:rsid w:val="00CD58C8"/>
    <w:rsid w:val="00CE0F27"/>
    <w:rsid w:val="00D80580"/>
    <w:rsid w:val="00DE0170"/>
    <w:rsid w:val="00E22543"/>
    <w:rsid w:val="00ED5EE8"/>
    <w:rsid w:val="00ED7381"/>
    <w:rsid w:val="00EE7319"/>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E73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E7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gje@michoacan.gob.m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12</cp:revision>
  <cp:lastPrinted>2017-03-12T20:45:00Z</cp:lastPrinted>
  <dcterms:created xsi:type="dcterms:W3CDTF">2016-09-03T21:13:00Z</dcterms:created>
  <dcterms:modified xsi:type="dcterms:W3CDTF">2017-03-12T20:45:00Z</dcterms:modified>
</cp:coreProperties>
</file>